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FC4A1" w14:textId="77777777" w:rsidR="000809FA" w:rsidRDefault="000809FA" w:rsidP="00FD397F">
      <w:pPr>
        <w:jc w:val="center"/>
        <w:rPr>
          <w:noProof/>
        </w:rPr>
      </w:pPr>
    </w:p>
    <w:p w14:paraId="48F71826" w14:textId="77777777" w:rsidR="00971461" w:rsidRDefault="00971461" w:rsidP="00FD397F">
      <w:pPr>
        <w:jc w:val="center"/>
        <w:rPr>
          <w:noProof/>
        </w:rPr>
      </w:pPr>
      <w:r w:rsidRPr="00971461">
        <w:rPr>
          <w:noProof/>
        </w:rPr>
        <w:drawing>
          <wp:inline distT="0" distB="0" distL="0" distR="0" wp14:anchorId="22E0C7E3" wp14:editId="24610C02">
            <wp:extent cx="5943600" cy="342011"/>
            <wp:effectExtent l="19050" t="0" r="0" b="0"/>
            <wp:docPr id="21" name="Picture 3" descr="C:\Documents and Settings\kmlamkins.CLASSICIND\Local Settings\Temporary Internet Files\Content.IE5\HUI21XCO\MC9003551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kmlamkins.CLASSICIND\Local Settings\Temporary Internet Files\Content.IE5\HUI21XCO\MC900355115[1].wmf"/>
                    <pic:cNvPicPr>
                      <a:picLocks noChangeAspect="1" noChangeArrowheads="1"/>
                    </pic:cNvPicPr>
                  </pic:nvPicPr>
                  <pic:blipFill>
                    <a:blip r:embed="rId4" cstate="print"/>
                    <a:srcRect/>
                    <a:stretch>
                      <a:fillRect/>
                    </a:stretch>
                  </pic:blipFill>
                  <pic:spPr bwMode="auto">
                    <a:xfrm>
                      <a:off x="0" y="0"/>
                      <a:ext cx="5943600" cy="342011"/>
                    </a:xfrm>
                    <a:prstGeom prst="rect">
                      <a:avLst/>
                    </a:prstGeom>
                    <a:noFill/>
                    <a:ln w="9525">
                      <a:noFill/>
                      <a:miter lim="800000"/>
                      <a:headEnd/>
                      <a:tailEnd/>
                    </a:ln>
                  </pic:spPr>
                </pic:pic>
              </a:graphicData>
            </a:graphic>
          </wp:inline>
        </w:drawing>
      </w:r>
    </w:p>
    <w:p w14:paraId="4A664478" w14:textId="77777777" w:rsidR="00971461" w:rsidRDefault="00971461" w:rsidP="00971461">
      <w:pPr>
        <w:jc w:val="center"/>
        <w:rPr>
          <w:rFonts w:ascii="Bermuda Script" w:hAnsi="Bermuda Script"/>
          <w:sz w:val="72"/>
          <w:szCs w:val="72"/>
        </w:rPr>
      </w:pPr>
      <w:r w:rsidRPr="00971461">
        <w:rPr>
          <w:rFonts w:ascii="Bermuda Script" w:hAnsi="Bermuda Script"/>
          <w:sz w:val="72"/>
          <w:szCs w:val="72"/>
        </w:rPr>
        <w:t>Classic Industries, Inc</w:t>
      </w:r>
    </w:p>
    <w:p w14:paraId="505D8131" w14:textId="77777777" w:rsidR="000809FA" w:rsidRPr="000809FA" w:rsidRDefault="000809FA" w:rsidP="000809FA">
      <w:pPr>
        <w:jc w:val="center"/>
        <w:rPr>
          <w:rFonts w:ascii="Book Antiqua" w:hAnsi="Book Antiqua"/>
          <w:i/>
          <w:sz w:val="40"/>
          <w:szCs w:val="40"/>
        </w:rPr>
      </w:pPr>
      <w:bookmarkStart w:id="0" w:name="_GoBack"/>
      <w:bookmarkEnd w:id="0"/>
      <w:proofErr w:type="gramStart"/>
      <w:r w:rsidRPr="000809FA">
        <w:rPr>
          <w:rFonts w:ascii="Book Antiqua" w:hAnsi="Book Antiqua"/>
          <w:i/>
          <w:sz w:val="40"/>
          <w:szCs w:val="40"/>
        </w:rPr>
        <w:t>1 year</w:t>
      </w:r>
      <w:proofErr w:type="gramEnd"/>
      <w:r w:rsidRPr="000809FA">
        <w:rPr>
          <w:rFonts w:ascii="Book Antiqua" w:hAnsi="Book Antiqua"/>
          <w:i/>
          <w:sz w:val="40"/>
          <w:szCs w:val="40"/>
        </w:rPr>
        <w:t xml:space="preserve"> limited warranty</w:t>
      </w:r>
    </w:p>
    <w:p w14:paraId="2E320739" w14:textId="77777777" w:rsidR="00971461" w:rsidRPr="000809FA" w:rsidRDefault="00971461" w:rsidP="00971461">
      <w:pPr>
        <w:jc w:val="center"/>
        <w:rPr>
          <w:rFonts w:ascii="Book Antiqua" w:hAnsi="Book Antiqua"/>
          <w:sz w:val="36"/>
          <w:szCs w:val="36"/>
        </w:rPr>
      </w:pPr>
      <w:r w:rsidRPr="000809FA">
        <w:rPr>
          <w:rFonts w:ascii="Book Antiqua" w:hAnsi="Book Antiqua"/>
          <w:sz w:val="36"/>
          <w:szCs w:val="36"/>
        </w:rPr>
        <w:t>Classic Industries, Inc warrants this cabinetry to be free of defects in material or workmanship for as long as they are owned by the original purchaser.  Classic Industries, Inc, at our option, may elect to repair or replace any product covered by this warranty.</w:t>
      </w:r>
    </w:p>
    <w:p w14:paraId="504BE80D" w14:textId="77777777" w:rsidR="00971461" w:rsidRPr="000809FA" w:rsidRDefault="00971461" w:rsidP="00971461">
      <w:pPr>
        <w:jc w:val="center"/>
        <w:rPr>
          <w:rFonts w:ascii="Book Antiqua" w:hAnsi="Book Antiqua"/>
          <w:sz w:val="36"/>
          <w:szCs w:val="36"/>
        </w:rPr>
      </w:pPr>
      <w:r w:rsidRPr="000809FA">
        <w:rPr>
          <w:rFonts w:ascii="Book Antiqua" w:hAnsi="Book Antiqua"/>
          <w:sz w:val="36"/>
          <w:szCs w:val="36"/>
        </w:rPr>
        <w:t>This warranty does not cover the natural aging or darkening of wood color, the inherent growth characteristics of, or variation in wood.  Some replacement parts are subject to availability, and may differ from those originally supplied.  This warranty does not apply to products or parts purchased without a finish.  This warranty does not cover normal wear and tear, or damage or defects caused by misuse, abuse, negligence, alteration, or improper installation, storage, or handling.  This warranty is not transferable.</w:t>
      </w:r>
    </w:p>
    <w:p w14:paraId="0B122C78" w14:textId="77777777" w:rsidR="00FD397F" w:rsidRDefault="00971461" w:rsidP="00FD397F">
      <w:pPr>
        <w:jc w:val="center"/>
      </w:pPr>
      <w:r w:rsidRPr="00971461">
        <w:rPr>
          <w:noProof/>
        </w:rPr>
        <w:drawing>
          <wp:inline distT="0" distB="0" distL="0" distR="0" wp14:anchorId="3A167993" wp14:editId="0B42D5DF">
            <wp:extent cx="5067300" cy="342011"/>
            <wp:effectExtent l="19050" t="0" r="0" b="0"/>
            <wp:docPr id="20" name="Picture 3" descr="C:\Documents and Settings\kmlamkins.CLASSICIND\Local Settings\Temporary Internet Files\Content.IE5\HUI21XCO\MC9003551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kmlamkins.CLASSICIND\Local Settings\Temporary Internet Files\Content.IE5\HUI21XCO\MC900355115[1].wmf"/>
                    <pic:cNvPicPr>
                      <a:picLocks noChangeAspect="1" noChangeArrowheads="1"/>
                    </pic:cNvPicPr>
                  </pic:nvPicPr>
                  <pic:blipFill>
                    <a:blip r:embed="rId4" cstate="print"/>
                    <a:srcRect/>
                    <a:stretch>
                      <a:fillRect/>
                    </a:stretch>
                  </pic:blipFill>
                  <pic:spPr bwMode="auto">
                    <a:xfrm>
                      <a:off x="0" y="0"/>
                      <a:ext cx="5067300" cy="342011"/>
                    </a:xfrm>
                    <a:prstGeom prst="rect">
                      <a:avLst/>
                    </a:prstGeom>
                    <a:noFill/>
                    <a:ln w="9525">
                      <a:noFill/>
                      <a:miter lim="800000"/>
                      <a:headEnd/>
                      <a:tailEnd/>
                    </a:ln>
                  </pic:spPr>
                </pic:pic>
              </a:graphicData>
            </a:graphic>
          </wp:inline>
        </w:drawing>
      </w:r>
    </w:p>
    <w:p w14:paraId="5340A0BB" w14:textId="77777777" w:rsidR="00F77D67" w:rsidRDefault="00F77D67" w:rsidP="00FD397F">
      <w:pPr>
        <w:jc w:val="center"/>
      </w:pPr>
    </w:p>
    <w:sectPr w:rsidR="00F77D67" w:rsidSect="00F1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Bermuda Script">
    <w:panose1 w:val="020B00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397F"/>
    <w:rsid w:val="000809FA"/>
    <w:rsid w:val="00422AA1"/>
    <w:rsid w:val="00971461"/>
    <w:rsid w:val="009B1BF9"/>
    <w:rsid w:val="00F1674C"/>
    <w:rsid w:val="00F77D67"/>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2BA8"/>
  <w15:docId w15:val="{3D54D579-9130-42A9-AF6C-9C02886E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kmlamkins</dc:creator>
  <cp:keywords/>
  <dc:description/>
  <cp:lastModifiedBy>Krista M. Lamkins</cp:lastModifiedBy>
  <cp:revision>4</cp:revision>
  <cp:lastPrinted>2010-06-23T13:44:00Z</cp:lastPrinted>
  <dcterms:created xsi:type="dcterms:W3CDTF">2010-06-23T13:11:00Z</dcterms:created>
  <dcterms:modified xsi:type="dcterms:W3CDTF">2018-02-22T20:31:00Z</dcterms:modified>
</cp:coreProperties>
</file>